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080A4" w14:textId="77777777" w:rsidR="005D4FFF" w:rsidRPr="00AA13FD" w:rsidRDefault="005D4FFF" w:rsidP="005D4FFF">
      <w:pPr>
        <w:rPr>
          <w:rFonts w:ascii="Cambria" w:hAnsi="Cambria"/>
        </w:rPr>
      </w:pPr>
    </w:p>
    <w:p w14:paraId="47B3EE8A" w14:textId="77777777" w:rsidR="005D4FFF" w:rsidRPr="00AA13FD" w:rsidRDefault="005D4FFF" w:rsidP="005D4FFF">
      <w:pPr>
        <w:rPr>
          <w:rFonts w:ascii="Cambria" w:hAnsi="Cambria"/>
        </w:rPr>
      </w:pPr>
    </w:p>
    <w:p w14:paraId="5CD3119A" w14:textId="77777777" w:rsidR="005D4FFF" w:rsidRPr="00AA13FD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2857293F" w14:textId="5F4F2A3E" w:rsidR="005D4FFF" w:rsidRPr="00AA13FD" w:rsidRDefault="004D2760" w:rsidP="004B093B">
      <w:pPr>
        <w:rPr>
          <w:rFonts w:ascii="Cambria" w:hAnsi="Cambria"/>
          <w:color w:val="434E7E"/>
          <w:spacing w:val="-1"/>
          <w:sz w:val="40"/>
          <w:szCs w:val="40"/>
        </w:rPr>
      </w:pPr>
      <w:r w:rsidRPr="00AA13FD">
        <w:rPr>
          <w:rFonts w:ascii="Cambria" w:hAnsi="Cambria"/>
          <w:color w:val="434E7E"/>
          <w:spacing w:val="-1"/>
          <w:sz w:val="40"/>
          <w:szCs w:val="40"/>
        </w:rPr>
        <w:t>R.</w:t>
      </w:r>
      <w:r w:rsidR="00AA13FD" w:rsidRPr="00AA13FD">
        <w:rPr>
          <w:rFonts w:ascii="Cambria" w:hAnsi="Cambria"/>
          <w:color w:val="434E7E"/>
          <w:spacing w:val="-1"/>
          <w:sz w:val="40"/>
          <w:szCs w:val="40"/>
        </w:rPr>
        <w:t>6</w:t>
      </w:r>
      <w:r w:rsidR="005D4FFF" w:rsidRPr="00AA13FD">
        <w:rPr>
          <w:rFonts w:ascii="Cambria" w:hAnsi="Cambria"/>
          <w:color w:val="434E7E"/>
          <w:spacing w:val="-1"/>
          <w:sz w:val="40"/>
          <w:szCs w:val="40"/>
        </w:rPr>
        <w:tab/>
      </w:r>
      <w:r w:rsidRPr="00AA13FD">
        <w:rPr>
          <w:rFonts w:ascii="Cambria" w:hAnsi="Cambria"/>
          <w:color w:val="434E7E"/>
          <w:spacing w:val="-1"/>
          <w:sz w:val="40"/>
          <w:szCs w:val="40"/>
        </w:rPr>
        <w:t xml:space="preserve">Achieve a minimum diversion rate of </w:t>
      </w:r>
      <w:r w:rsidR="003C7D3D" w:rsidRPr="00AA13FD">
        <w:rPr>
          <w:rFonts w:ascii="Cambria" w:hAnsi="Cambria"/>
          <w:color w:val="434E7E"/>
          <w:spacing w:val="-1"/>
          <w:sz w:val="40"/>
          <w:szCs w:val="40"/>
        </w:rPr>
        <w:t>30</w:t>
      </w:r>
      <w:r w:rsidRPr="00AA13FD">
        <w:rPr>
          <w:rFonts w:ascii="Cambria" w:hAnsi="Cambria"/>
          <w:color w:val="434E7E"/>
          <w:spacing w:val="-1"/>
          <w:sz w:val="40"/>
          <w:szCs w:val="40"/>
        </w:rPr>
        <w:t>%</w:t>
      </w:r>
    </w:p>
    <w:p w14:paraId="38BCD6F6" w14:textId="32A9E24A" w:rsidR="008A6CDE" w:rsidRDefault="008A6CDE" w:rsidP="008A6CDE">
      <w:pPr>
        <w:spacing w:before="120" w:after="240" w:line="259" w:lineRule="auto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 xml:space="preserve">Properties should expect to improve their diversion rate, </w:t>
      </w:r>
      <w:r w:rsidRPr="00AA13FD">
        <w:rPr>
          <w:rFonts w:ascii="Cambria" w:hAnsi="Cambria"/>
          <w:iCs/>
          <w:color w:val="B31983"/>
        </w:rPr>
        <w:t xml:space="preserve">the amount of </w:t>
      </w:r>
      <w:r>
        <w:rPr>
          <w:rFonts w:ascii="Cambria" w:hAnsi="Cambria"/>
          <w:iCs/>
          <w:color w:val="B31983"/>
        </w:rPr>
        <w:t>recycling</w:t>
      </w:r>
      <w:r w:rsidRPr="00AA13FD">
        <w:rPr>
          <w:rFonts w:ascii="Cambria" w:hAnsi="Cambria"/>
          <w:iCs/>
          <w:color w:val="B31983"/>
        </w:rPr>
        <w:t xml:space="preserve"> diverted from the landfill</w:t>
      </w:r>
      <w:r>
        <w:rPr>
          <w:rFonts w:ascii="Cambria" w:hAnsi="Cambria"/>
          <w:iCs/>
          <w:color w:val="B31983"/>
        </w:rPr>
        <w:t>, as adjustments are made to the recycling program.</w:t>
      </w:r>
    </w:p>
    <w:p w14:paraId="6417B8DF" w14:textId="3A5AEF60" w:rsidR="00BD7DBA" w:rsidRPr="008A6CDE" w:rsidRDefault="00BD7DBA" w:rsidP="008A6CDE">
      <w:pPr>
        <w:spacing w:before="240" w:after="120"/>
        <w:rPr>
          <w:rFonts w:ascii="Cambria" w:hAnsi="Cambria"/>
          <w:iCs/>
          <w:color w:val="434E7E"/>
          <w:sz w:val="28"/>
          <w:szCs w:val="28"/>
        </w:rPr>
      </w:pPr>
      <w:r w:rsidRPr="008A6CDE">
        <w:rPr>
          <w:rFonts w:ascii="Cambria" w:hAnsi="Cambria"/>
          <w:iCs/>
          <w:color w:val="434E7E"/>
          <w:sz w:val="28"/>
          <w:szCs w:val="28"/>
        </w:rPr>
        <w:t>To be eligible for these points</w:t>
      </w:r>
    </w:p>
    <w:p w14:paraId="1AE3C2F4" w14:textId="6FFEBF71" w:rsidR="00BD7DBA" w:rsidRPr="00BD7DBA" w:rsidRDefault="00BD7DBA" w:rsidP="008A6CDE">
      <w:pPr>
        <w:pStyle w:val="ListParagraph"/>
        <w:numPr>
          <w:ilvl w:val="0"/>
          <w:numId w:val="8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BD7DBA">
        <w:rPr>
          <w:rFonts w:ascii="Cambria" w:hAnsi="Cambria"/>
          <w:iCs/>
          <w:color w:val="B31983"/>
        </w:rPr>
        <w:t xml:space="preserve">Obtain the baseline diversion rate. Check with the waste hauler or recycling service </w:t>
      </w:r>
      <w:proofErr w:type="gramStart"/>
      <w:r w:rsidRPr="00BD7DBA">
        <w:rPr>
          <w:rFonts w:ascii="Cambria" w:hAnsi="Cambria"/>
          <w:iCs/>
          <w:color w:val="B31983"/>
        </w:rPr>
        <w:t>provider, or</w:t>
      </w:r>
      <w:proofErr w:type="gramEnd"/>
      <w:r w:rsidRPr="00BD7DBA">
        <w:rPr>
          <w:rFonts w:ascii="Cambria" w:hAnsi="Cambria"/>
          <w:iCs/>
          <w:color w:val="B31983"/>
        </w:rPr>
        <w:t xml:space="preserve"> use the </w:t>
      </w:r>
      <w:r w:rsidR="008A6CDE">
        <w:rPr>
          <w:rFonts w:ascii="Cambria" w:hAnsi="Cambria"/>
          <w:iCs/>
          <w:color w:val="B31983"/>
        </w:rPr>
        <w:t xml:space="preserve">tracking table </w:t>
      </w:r>
      <w:r w:rsidR="008A6CDE" w:rsidRPr="00BD7DBA">
        <w:rPr>
          <w:rFonts w:ascii="Cambria" w:hAnsi="Cambria"/>
          <w:iCs/>
          <w:color w:val="B31983"/>
        </w:rPr>
        <w:t>in the R.3 form</w:t>
      </w:r>
      <w:r w:rsidR="008A6CDE">
        <w:rPr>
          <w:rFonts w:ascii="Cambria" w:hAnsi="Cambria"/>
          <w:iCs/>
          <w:color w:val="B31983"/>
        </w:rPr>
        <w:t xml:space="preserve"> to estimate diversion rate by volume</w:t>
      </w:r>
      <w:r w:rsidRPr="00BD7DBA">
        <w:rPr>
          <w:rFonts w:ascii="Cambria" w:hAnsi="Cambria"/>
          <w:iCs/>
          <w:color w:val="B31983"/>
        </w:rPr>
        <w:t>.</w:t>
      </w:r>
    </w:p>
    <w:p w14:paraId="2E5499CD" w14:textId="07EC243C" w:rsidR="00BD7DBA" w:rsidRPr="00BD7DBA" w:rsidRDefault="00BD7DBA" w:rsidP="008A6CDE">
      <w:pPr>
        <w:pStyle w:val="ListParagraph"/>
        <w:numPr>
          <w:ilvl w:val="0"/>
          <w:numId w:val="8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BD7DBA">
        <w:rPr>
          <w:rFonts w:ascii="Cambria" w:hAnsi="Cambria"/>
          <w:iCs/>
          <w:color w:val="B31983"/>
        </w:rPr>
        <w:t>Adjust the recycling program, if necessary, to improve the diversion rate to the minimum 30%.</w:t>
      </w:r>
    </w:p>
    <w:p w14:paraId="63A55BB9" w14:textId="054E5259" w:rsidR="00BD7DBA" w:rsidRDefault="00BD7DBA" w:rsidP="008A6CDE">
      <w:pPr>
        <w:pStyle w:val="ListParagraph"/>
        <w:numPr>
          <w:ilvl w:val="0"/>
          <w:numId w:val="8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 xml:space="preserve">You have two options for the diversion rate on which </w:t>
      </w:r>
      <w:r w:rsidR="008A6CDE">
        <w:rPr>
          <w:rFonts w:ascii="Cambria" w:hAnsi="Cambria"/>
          <w:iCs/>
          <w:color w:val="B31983"/>
        </w:rPr>
        <w:t>to</w:t>
      </w:r>
      <w:r>
        <w:rPr>
          <w:rFonts w:ascii="Cambria" w:hAnsi="Cambria"/>
          <w:iCs/>
          <w:color w:val="B31983"/>
        </w:rPr>
        <w:t xml:space="preserve"> base eligibility.</w:t>
      </w:r>
    </w:p>
    <w:p w14:paraId="5BBEC1A3" w14:textId="58A2868F" w:rsidR="00BD7DBA" w:rsidRPr="005E594C" w:rsidRDefault="00BD7DBA" w:rsidP="00BD7DBA">
      <w:pPr>
        <w:pStyle w:val="BodyText"/>
        <w:ind w:left="1440" w:firstLine="0"/>
        <w:rPr>
          <w:rFonts w:ascii="Cambria" w:hAnsi="Cambria"/>
          <w:b/>
          <w:bCs w:val="0"/>
          <w:color w:val="B31983"/>
        </w:rPr>
      </w:pPr>
      <w:r w:rsidRPr="005E594C">
        <w:rPr>
          <w:rFonts w:ascii="Cambria" w:hAnsi="Cambria"/>
          <w:b/>
          <w:bCs w:val="0"/>
          <w:color w:val="B31983"/>
        </w:rPr>
        <w:t>Option 1</w:t>
      </w:r>
      <w:r w:rsidR="0042749A">
        <w:rPr>
          <w:rFonts w:ascii="Cambria" w:hAnsi="Cambria"/>
          <w:b/>
          <w:bCs w:val="0"/>
          <w:color w:val="B31983"/>
        </w:rPr>
        <w:t>: Management-controlled recycling</w:t>
      </w:r>
    </w:p>
    <w:p w14:paraId="4017706B" w14:textId="16B88BA6" w:rsidR="00BD7DBA" w:rsidRDefault="00BD7DBA" w:rsidP="00BD7DBA">
      <w:pPr>
        <w:pStyle w:val="BodyText"/>
        <w:ind w:left="1440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Use the diversion rate for any </w:t>
      </w:r>
      <w:r w:rsidRPr="00D03D8F">
        <w:rPr>
          <w:rFonts w:ascii="Cambria" w:hAnsi="Cambria"/>
          <w:color w:val="434E7E"/>
        </w:rPr>
        <w:t xml:space="preserve">management-controlled </w:t>
      </w:r>
      <w:r w:rsidRPr="005F44D5">
        <w:rPr>
          <w:rFonts w:ascii="Cambria" w:hAnsi="Cambria"/>
          <w:color w:val="B31983"/>
        </w:rPr>
        <w:t>recycling</w:t>
      </w:r>
      <w:r>
        <w:rPr>
          <w:rFonts w:ascii="Cambria" w:hAnsi="Cambria"/>
          <w:color w:val="B31983"/>
        </w:rPr>
        <w:t>.</w:t>
      </w:r>
    </w:p>
    <w:p w14:paraId="5E4094E2" w14:textId="7F2A5092" w:rsidR="00BD7DBA" w:rsidRPr="00A23C3E" w:rsidRDefault="00BD7DBA" w:rsidP="00BD7DBA">
      <w:pPr>
        <w:pStyle w:val="BodyText"/>
        <w:spacing w:before="120"/>
        <w:ind w:left="1440" w:firstLine="0"/>
        <w:rPr>
          <w:rFonts w:ascii="Cambria" w:hAnsi="Cambria"/>
          <w:b/>
          <w:bCs w:val="0"/>
          <w:color w:val="B31983"/>
        </w:rPr>
      </w:pPr>
      <w:r>
        <w:rPr>
          <w:rFonts w:ascii="Cambria" w:hAnsi="Cambria"/>
          <w:b/>
          <w:bCs w:val="0"/>
          <w:color w:val="B31983"/>
        </w:rPr>
        <w:t>Option 2</w:t>
      </w:r>
      <w:r w:rsidR="0042749A">
        <w:rPr>
          <w:rFonts w:ascii="Cambria" w:hAnsi="Cambria"/>
          <w:b/>
          <w:bCs w:val="0"/>
          <w:color w:val="B31983"/>
        </w:rPr>
        <w:t>: Tenant recycling</w:t>
      </w:r>
    </w:p>
    <w:p w14:paraId="6E9C7E09" w14:textId="77777777" w:rsidR="00BD7DBA" w:rsidRDefault="00BD7DBA" w:rsidP="00BD7DBA">
      <w:pPr>
        <w:pStyle w:val="BodyText"/>
        <w:ind w:left="1260" w:firstLine="18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Use the diversion rate of the </w:t>
      </w:r>
      <w:r w:rsidRPr="000339BE">
        <w:rPr>
          <w:rFonts w:ascii="Cambria" w:hAnsi="Cambria"/>
          <w:color w:val="434E7E"/>
        </w:rPr>
        <w:t>largest tenant by usable square footage</w:t>
      </w:r>
      <w:r>
        <w:rPr>
          <w:rFonts w:ascii="Cambria" w:hAnsi="Cambria"/>
          <w:color w:val="B31983"/>
        </w:rPr>
        <w:t xml:space="preserve"> willing to collaborate.</w:t>
      </w:r>
    </w:p>
    <w:p w14:paraId="204C63C0" w14:textId="40D21FE5" w:rsidR="00AA13FD" w:rsidRPr="008A6CDE" w:rsidRDefault="00AA13FD" w:rsidP="008A6CDE">
      <w:pPr>
        <w:spacing w:before="240" w:after="120"/>
        <w:rPr>
          <w:rFonts w:ascii="Cambria" w:hAnsi="Cambria"/>
          <w:iCs/>
          <w:color w:val="434E7E"/>
          <w:sz w:val="28"/>
          <w:szCs w:val="28"/>
        </w:rPr>
      </w:pPr>
      <w:r w:rsidRPr="008A6CDE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BD7DBA" w:rsidRPr="008A6CDE">
        <w:rPr>
          <w:rFonts w:ascii="Cambria" w:hAnsi="Cambria"/>
          <w:iCs/>
          <w:color w:val="434E7E"/>
          <w:sz w:val="28"/>
          <w:szCs w:val="28"/>
        </w:rPr>
        <w:t>claim</w:t>
      </w:r>
      <w:r w:rsidRPr="008A6CDE">
        <w:rPr>
          <w:rFonts w:ascii="Cambria" w:hAnsi="Cambria"/>
          <w:iCs/>
          <w:color w:val="434E7E"/>
          <w:sz w:val="28"/>
          <w:szCs w:val="28"/>
        </w:rPr>
        <w:t xml:space="preserve"> the</w:t>
      </w:r>
      <w:r w:rsidR="00BD7DBA" w:rsidRPr="008A6CDE">
        <w:rPr>
          <w:rFonts w:ascii="Cambria" w:hAnsi="Cambria"/>
          <w:iCs/>
          <w:color w:val="434E7E"/>
          <w:sz w:val="28"/>
          <w:szCs w:val="28"/>
        </w:rPr>
        <w:t>se</w:t>
      </w:r>
      <w:r w:rsidRPr="008A6CDE">
        <w:rPr>
          <w:rFonts w:ascii="Cambria" w:hAnsi="Cambria"/>
          <w:iCs/>
          <w:color w:val="434E7E"/>
          <w:sz w:val="28"/>
          <w:szCs w:val="28"/>
        </w:rPr>
        <w:t xml:space="preserve"> points</w:t>
      </w:r>
    </w:p>
    <w:p w14:paraId="504E3F78" w14:textId="4BC9E4C2" w:rsidR="00AA13FD" w:rsidRPr="00BD7DBA" w:rsidRDefault="00BD7DBA" w:rsidP="008A6CDE">
      <w:pPr>
        <w:pStyle w:val="ListParagraph"/>
        <w:numPr>
          <w:ilvl w:val="0"/>
          <w:numId w:val="8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BD7DBA">
        <w:rPr>
          <w:rFonts w:ascii="Cambria" w:hAnsi="Cambria"/>
          <w:iCs/>
          <w:color w:val="B31983"/>
        </w:rPr>
        <w:t xml:space="preserve">Indicate the option </w:t>
      </w:r>
      <w:proofErr w:type="gramStart"/>
      <w:r w:rsidRPr="00BD7DBA">
        <w:rPr>
          <w:rFonts w:ascii="Cambria" w:hAnsi="Cambria"/>
          <w:iCs/>
          <w:color w:val="B31983"/>
        </w:rPr>
        <w:t>you’re</w:t>
      </w:r>
      <w:proofErr w:type="gramEnd"/>
      <w:r w:rsidRPr="00BD7DBA">
        <w:rPr>
          <w:rFonts w:ascii="Cambria" w:hAnsi="Cambria"/>
          <w:iCs/>
          <w:color w:val="B31983"/>
        </w:rPr>
        <w:t xml:space="preserve"> using for the </w:t>
      </w:r>
      <w:r w:rsidR="008A6CDE" w:rsidRPr="00BD7DBA">
        <w:rPr>
          <w:rFonts w:ascii="Cambria" w:hAnsi="Cambria"/>
          <w:iCs/>
          <w:color w:val="B31983"/>
        </w:rPr>
        <w:t>diversion</w:t>
      </w:r>
      <w:r w:rsidRPr="00BD7DBA">
        <w:rPr>
          <w:rFonts w:ascii="Cambria" w:hAnsi="Cambria"/>
          <w:iCs/>
          <w:color w:val="B31983"/>
        </w:rPr>
        <w:t xml:space="preserve"> rate.</w:t>
      </w:r>
    </w:p>
    <w:p w14:paraId="448A17A7" w14:textId="1B59D513" w:rsidR="00BD7DBA" w:rsidRPr="00BD7DBA" w:rsidRDefault="00BD7DBA" w:rsidP="008A6CDE">
      <w:pPr>
        <w:pStyle w:val="ListParagraph"/>
        <w:numPr>
          <w:ilvl w:val="0"/>
          <w:numId w:val="8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BD7DBA">
        <w:rPr>
          <w:rFonts w:ascii="Cambria" w:hAnsi="Cambria"/>
          <w:iCs/>
          <w:color w:val="B31983"/>
        </w:rPr>
        <w:t>Enter the diversion rate.</w:t>
      </w:r>
    </w:p>
    <w:p w14:paraId="3072B35E" w14:textId="332FB4BE" w:rsidR="00380C0B" w:rsidRPr="00BD7DBA" w:rsidRDefault="00380C0B" w:rsidP="00FE78EE">
      <w:pPr>
        <w:pStyle w:val="ListParagraph"/>
        <w:numPr>
          <w:ilvl w:val="0"/>
          <w:numId w:val="8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8A6CDE">
        <w:rPr>
          <w:rFonts w:ascii="Cambria" w:hAnsi="Cambria"/>
          <w:iCs/>
          <w:color w:val="B31983"/>
        </w:rPr>
        <w:t xml:space="preserve">Submit documentation showing the </w:t>
      </w:r>
      <w:r w:rsidR="004A1E57" w:rsidRPr="008A6CDE">
        <w:rPr>
          <w:rFonts w:ascii="Cambria" w:hAnsi="Cambria"/>
          <w:iCs/>
          <w:color w:val="B31983"/>
        </w:rPr>
        <w:t>proper</w:t>
      </w:r>
      <w:r w:rsidRPr="008A6CDE">
        <w:rPr>
          <w:rFonts w:ascii="Cambria" w:hAnsi="Cambria"/>
          <w:iCs/>
          <w:color w:val="B31983"/>
        </w:rPr>
        <w:t>ty’s diversion rate</w:t>
      </w:r>
      <w:r w:rsidR="008A6CDE" w:rsidRPr="008A6CDE">
        <w:rPr>
          <w:rFonts w:ascii="Cambria" w:hAnsi="Cambria"/>
          <w:iCs/>
          <w:color w:val="B31983"/>
        </w:rPr>
        <w:t xml:space="preserve"> with </w:t>
      </w:r>
      <w:proofErr w:type="spellStart"/>
      <w:r w:rsidR="008A6CDE" w:rsidRPr="008A6CDE">
        <w:rPr>
          <w:rFonts w:ascii="Cambria" w:hAnsi="Cambria"/>
          <w:iCs/>
          <w:color w:val="B31983"/>
        </w:rPr>
        <w:t>your</w:t>
      </w:r>
      <w:proofErr w:type="spellEnd"/>
      <w:r w:rsidR="008A6CDE" w:rsidRPr="008A6CDE">
        <w:rPr>
          <w:rFonts w:ascii="Cambria" w:hAnsi="Cambria"/>
          <w:iCs/>
          <w:color w:val="B31983"/>
        </w:rPr>
        <w:t xml:space="preserve"> application</w:t>
      </w:r>
      <w:r w:rsidRPr="008A6CDE">
        <w:rPr>
          <w:rFonts w:ascii="Cambria" w:hAnsi="Cambria"/>
          <w:iCs/>
          <w:color w:val="B31983"/>
        </w:rPr>
        <w:t>.</w:t>
      </w:r>
      <w:r w:rsidR="00BD7DBA">
        <w:rPr>
          <w:rFonts w:ascii="Cambria" w:hAnsi="Cambria"/>
          <w:iCs/>
          <w:color w:val="B31983"/>
        </w:rPr>
        <w:t xml:space="preserve"> This can be documentation from the hauler or recycling service provider, the volume tracker in the R.3 form, or another diversion rate calculator.</w:t>
      </w:r>
    </w:p>
    <w:p w14:paraId="623015CA" w14:textId="77777777" w:rsidR="00AA13FD" w:rsidRPr="00C67DB3" w:rsidRDefault="00AA13FD" w:rsidP="00C67DB3">
      <w:pPr>
        <w:spacing w:before="120" w:after="120" w:line="259" w:lineRule="auto"/>
        <w:rPr>
          <w:rFonts w:ascii="Cambria" w:hAnsi="Cambria"/>
          <w:iCs/>
          <w:color w:val="B31983"/>
        </w:rPr>
      </w:pPr>
    </w:p>
    <w:p w14:paraId="408B4258" w14:textId="3E8542EB" w:rsidR="00BD7DBA" w:rsidRDefault="00BD7DBA" w:rsidP="0042749A">
      <w:pPr>
        <w:pStyle w:val="BodyText"/>
        <w:numPr>
          <w:ilvl w:val="0"/>
          <w:numId w:val="6"/>
        </w:numPr>
        <w:spacing w:after="240"/>
        <w:ind w:right="1584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 xml:space="preserve">Check the box to indicate the option </w:t>
      </w:r>
      <w:proofErr w:type="gramStart"/>
      <w:r>
        <w:rPr>
          <w:rFonts w:ascii="Cambria" w:hAnsi="Cambria"/>
          <w:color w:val="414042"/>
        </w:rPr>
        <w:t>you’re</w:t>
      </w:r>
      <w:proofErr w:type="gramEnd"/>
      <w:r>
        <w:rPr>
          <w:rFonts w:ascii="Cambria" w:hAnsi="Cambria"/>
          <w:color w:val="414042"/>
        </w:rPr>
        <w:t xml:space="preserve"> using for the diversion rate.</w:t>
      </w:r>
    </w:p>
    <w:tbl>
      <w:tblPr>
        <w:tblW w:w="0" w:type="auto"/>
        <w:tblInd w:w="5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0"/>
        <w:gridCol w:w="900"/>
      </w:tblGrid>
      <w:tr w:rsidR="0042749A" w:rsidRPr="00AA13FD" w14:paraId="3D026567" w14:textId="77777777" w:rsidTr="00FE78EE">
        <w:trPr>
          <w:trHeight w:hRule="exact" w:val="611"/>
        </w:trPr>
        <w:tc>
          <w:tcPr>
            <w:tcW w:w="4580" w:type="dxa"/>
            <w:vAlign w:val="center"/>
          </w:tcPr>
          <w:p w14:paraId="77D4119E" w14:textId="1561FCDC" w:rsidR="0042749A" w:rsidRPr="00AA13FD" w:rsidRDefault="0042749A" w:rsidP="00520EEF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Option 1: Management-controlled recycling</w:t>
            </w:r>
          </w:p>
        </w:tc>
        <w:tc>
          <w:tcPr>
            <w:tcW w:w="900" w:type="dxa"/>
            <w:vAlign w:val="center"/>
          </w:tcPr>
          <w:p w14:paraId="1DB4D2A9" w14:textId="77777777" w:rsidR="0042749A" w:rsidRPr="00AA13FD" w:rsidRDefault="0042749A" w:rsidP="00520EEF">
            <w:pPr>
              <w:pStyle w:val="TableParagraph"/>
              <w:spacing w:before="0"/>
              <w:ind w:left="0" w:right="0"/>
              <w:rPr>
                <w:rFonts w:ascii="Cambria" w:hAnsi="Cambria"/>
                <w:color w:val="414042"/>
                <w:sz w:val="20"/>
              </w:rPr>
            </w:pPr>
          </w:p>
        </w:tc>
      </w:tr>
      <w:tr w:rsidR="0042749A" w:rsidRPr="00AA13FD" w14:paraId="79E1DF83" w14:textId="77777777" w:rsidTr="00FE78EE">
        <w:trPr>
          <w:trHeight w:hRule="exact" w:val="611"/>
        </w:trPr>
        <w:tc>
          <w:tcPr>
            <w:tcW w:w="4580" w:type="dxa"/>
            <w:vAlign w:val="center"/>
          </w:tcPr>
          <w:p w14:paraId="1FF8E940" w14:textId="5014B7EB" w:rsidR="0042749A" w:rsidRPr="00AA13FD" w:rsidRDefault="0042749A" w:rsidP="00520EEF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Option 2: Tenant recycling</w:t>
            </w:r>
          </w:p>
        </w:tc>
        <w:tc>
          <w:tcPr>
            <w:tcW w:w="900" w:type="dxa"/>
            <w:vAlign w:val="center"/>
          </w:tcPr>
          <w:p w14:paraId="2B190502" w14:textId="77777777" w:rsidR="0042749A" w:rsidRPr="00AA13FD" w:rsidRDefault="0042749A" w:rsidP="00520EEF">
            <w:pPr>
              <w:pStyle w:val="TableParagraph"/>
              <w:spacing w:before="0"/>
              <w:ind w:left="0" w:right="0"/>
              <w:rPr>
                <w:rFonts w:ascii="Cambria" w:hAnsi="Cambria"/>
                <w:color w:val="414042"/>
                <w:sz w:val="20"/>
              </w:rPr>
            </w:pPr>
          </w:p>
        </w:tc>
      </w:tr>
    </w:tbl>
    <w:p w14:paraId="1965169A" w14:textId="77777777" w:rsidR="00BD7DBA" w:rsidRDefault="00BD7DBA" w:rsidP="0042749A">
      <w:pPr>
        <w:pStyle w:val="BodyText"/>
        <w:spacing w:before="120" w:after="120"/>
        <w:ind w:left="0" w:right="1584" w:firstLine="0"/>
        <w:rPr>
          <w:rFonts w:ascii="Cambria" w:hAnsi="Cambria"/>
          <w:color w:val="414042"/>
        </w:rPr>
      </w:pPr>
    </w:p>
    <w:p w14:paraId="7592A365" w14:textId="17F8D836" w:rsidR="000339BE" w:rsidRDefault="000339BE" w:rsidP="0042749A">
      <w:pPr>
        <w:pStyle w:val="BodyText"/>
        <w:numPr>
          <w:ilvl w:val="0"/>
          <w:numId w:val="6"/>
        </w:numPr>
        <w:spacing w:after="240"/>
        <w:ind w:right="1584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Enter</w:t>
      </w:r>
      <w:r w:rsidRPr="00AA13FD">
        <w:rPr>
          <w:rFonts w:ascii="Cambria" w:hAnsi="Cambria"/>
          <w:color w:val="414042"/>
        </w:rPr>
        <w:t xml:space="preserve"> the diversion rate</w:t>
      </w:r>
      <w:r>
        <w:rPr>
          <w:rFonts w:ascii="Cambria" w:hAnsi="Cambria"/>
          <w:color w:val="414042"/>
        </w:rPr>
        <w:t xml:space="preserve"> (%)</w:t>
      </w:r>
      <w:r w:rsidRPr="00AA13FD">
        <w:rPr>
          <w:rFonts w:ascii="Cambria" w:hAnsi="Cambria"/>
          <w:color w:val="414042"/>
        </w:rPr>
        <w:t>.</w:t>
      </w:r>
    </w:p>
    <w:tbl>
      <w:tblPr>
        <w:tblStyle w:val="TableGrid"/>
        <w:tblW w:w="0" w:type="auto"/>
        <w:tblInd w:w="555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1401"/>
      </w:tblGrid>
      <w:tr w:rsidR="000339BE" w14:paraId="512BB518" w14:textId="77777777" w:rsidTr="000339BE">
        <w:trPr>
          <w:trHeight w:val="823"/>
        </w:trPr>
        <w:tc>
          <w:tcPr>
            <w:tcW w:w="1401" w:type="dxa"/>
            <w:vAlign w:val="center"/>
          </w:tcPr>
          <w:p w14:paraId="15935B8C" w14:textId="77777777" w:rsidR="000339BE" w:rsidRPr="004B093B" w:rsidRDefault="000339BE" w:rsidP="004B093B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7A791D2D" w14:textId="77777777" w:rsidR="004B093B" w:rsidRDefault="004B093B" w:rsidP="00C67DB3">
      <w:pPr>
        <w:pStyle w:val="BodyText"/>
        <w:spacing w:before="360"/>
        <w:ind w:left="0" w:firstLine="0"/>
        <w:rPr>
          <w:rFonts w:ascii="Cambria" w:hAnsi="Cambria"/>
          <w:color w:val="B31983"/>
        </w:rPr>
      </w:pPr>
    </w:p>
    <w:p w14:paraId="3DCC582E" w14:textId="13614B73" w:rsidR="00010012" w:rsidRPr="00AA13FD" w:rsidRDefault="00010012" w:rsidP="00C67DB3">
      <w:pPr>
        <w:pStyle w:val="BodyText"/>
        <w:spacing w:before="360"/>
        <w:ind w:left="0" w:firstLine="0"/>
        <w:rPr>
          <w:rFonts w:ascii="Cambria" w:hAnsi="Cambria"/>
          <w:color w:val="414042"/>
        </w:rPr>
      </w:pPr>
      <w:r w:rsidRPr="00AA13FD">
        <w:rPr>
          <w:rFonts w:ascii="Cambria" w:hAnsi="Cambria"/>
          <w:color w:val="B31983"/>
        </w:rPr>
        <w:lastRenderedPageBreak/>
        <w:t>Alternative documentation</w:t>
      </w:r>
      <w:r w:rsidRPr="00AA13FD">
        <w:rPr>
          <w:rFonts w:ascii="Cambria" w:hAnsi="Cambria"/>
          <w:color w:val="B31983"/>
        </w:rPr>
        <w:br/>
      </w:r>
      <w:r w:rsidRPr="00AA13FD">
        <w:rPr>
          <w:rFonts w:ascii="Cambria" w:hAnsi="Cambria"/>
          <w:color w:val="414042"/>
        </w:rPr>
        <w:t>Instead</w:t>
      </w:r>
      <w:r w:rsidRPr="00AA13FD">
        <w:rPr>
          <w:rFonts w:ascii="Cambria" w:hAnsi="Cambria"/>
          <w:color w:val="414042"/>
          <w:spacing w:val="-5"/>
        </w:rPr>
        <w:t xml:space="preserve"> </w:t>
      </w:r>
      <w:r w:rsidRPr="00AA13FD">
        <w:rPr>
          <w:rFonts w:ascii="Cambria" w:hAnsi="Cambria"/>
          <w:color w:val="414042"/>
        </w:rPr>
        <w:t>of</w:t>
      </w:r>
      <w:r w:rsidRPr="00AA13FD">
        <w:rPr>
          <w:rFonts w:ascii="Cambria" w:hAnsi="Cambria"/>
          <w:color w:val="414042"/>
          <w:spacing w:val="-5"/>
        </w:rPr>
        <w:t xml:space="preserve"> </w:t>
      </w:r>
      <w:r w:rsidRPr="00AA13FD">
        <w:rPr>
          <w:rFonts w:ascii="Cambria" w:hAnsi="Cambria"/>
          <w:color w:val="414042"/>
        </w:rPr>
        <w:t>this</w:t>
      </w:r>
      <w:r w:rsidRPr="00AA13FD">
        <w:rPr>
          <w:rFonts w:ascii="Cambria" w:hAnsi="Cambria"/>
          <w:color w:val="414042"/>
          <w:spacing w:val="-5"/>
        </w:rPr>
        <w:t xml:space="preserve"> </w:t>
      </w:r>
      <w:r w:rsidRPr="00AA13FD">
        <w:rPr>
          <w:rFonts w:ascii="Cambria" w:hAnsi="Cambria"/>
          <w:color w:val="414042"/>
        </w:rPr>
        <w:t>form,</w:t>
      </w:r>
      <w:r w:rsidRPr="00AA13FD">
        <w:rPr>
          <w:rFonts w:ascii="Cambria" w:hAnsi="Cambria"/>
          <w:color w:val="414042"/>
          <w:spacing w:val="-5"/>
        </w:rPr>
        <w:t xml:space="preserve"> </w:t>
      </w:r>
      <w:r w:rsidRPr="00AA13FD">
        <w:rPr>
          <w:rFonts w:ascii="Cambria" w:hAnsi="Cambria"/>
          <w:color w:val="414042"/>
        </w:rPr>
        <w:t>you</w:t>
      </w:r>
      <w:r w:rsidRPr="00AA13FD">
        <w:rPr>
          <w:rFonts w:ascii="Cambria" w:hAnsi="Cambria"/>
          <w:color w:val="414042"/>
          <w:spacing w:val="-5"/>
        </w:rPr>
        <w:t xml:space="preserve"> </w:t>
      </w:r>
      <w:r w:rsidRPr="00AA13FD">
        <w:rPr>
          <w:rFonts w:ascii="Cambria" w:hAnsi="Cambria"/>
          <w:color w:val="414042"/>
        </w:rPr>
        <w:t>may</w:t>
      </w:r>
      <w:r w:rsidRPr="00AA13FD">
        <w:rPr>
          <w:rFonts w:ascii="Cambria" w:hAnsi="Cambria"/>
          <w:color w:val="414042"/>
          <w:spacing w:val="-4"/>
        </w:rPr>
        <w:t xml:space="preserve"> </w:t>
      </w:r>
      <w:r w:rsidRPr="00AA13FD">
        <w:rPr>
          <w:rFonts w:ascii="Cambria" w:hAnsi="Cambria"/>
          <w:color w:val="414042"/>
        </w:rPr>
        <w:t>submit</w:t>
      </w:r>
      <w:r w:rsidRPr="00AA13FD">
        <w:rPr>
          <w:rFonts w:ascii="Cambria" w:hAnsi="Cambria"/>
          <w:color w:val="414042"/>
          <w:spacing w:val="-5"/>
        </w:rPr>
        <w:t xml:space="preserve"> </w:t>
      </w:r>
      <w:r w:rsidRPr="00AA13FD">
        <w:rPr>
          <w:rFonts w:ascii="Cambria" w:hAnsi="Cambria"/>
          <w:color w:val="414042"/>
        </w:rPr>
        <w:t>the</w:t>
      </w:r>
      <w:r w:rsidRPr="00AA13FD">
        <w:rPr>
          <w:rFonts w:ascii="Cambria" w:hAnsi="Cambria"/>
          <w:color w:val="414042"/>
          <w:spacing w:val="-5"/>
        </w:rPr>
        <w:t xml:space="preserve"> </w:t>
      </w:r>
      <w:r w:rsidRPr="00AA13FD">
        <w:rPr>
          <w:rFonts w:ascii="Cambria" w:hAnsi="Cambria"/>
          <w:color w:val="414042"/>
        </w:rPr>
        <w:t>following</w:t>
      </w:r>
      <w:r w:rsidRPr="00AA13FD">
        <w:rPr>
          <w:rFonts w:ascii="Cambria" w:hAnsi="Cambria"/>
          <w:color w:val="414042"/>
          <w:spacing w:val="-6"/>
        </w:rPr>
        <w:t xml:space="preserve"> </w:t>
      </w:r>
      <w:r w:rsidRPr="00AA13FD">
        <w:rPr>
          <w:rFonts w:ascii="Cambria" w:hAnsi="Cambria"/>
          <w:color w:val="414042"/>
        </w:rPr>
        <w:t>to</w:t>
      </w:r>
      <w:r w:rsidRPr="00AA13FD">
        <w:rPr>
          <w:rFonts w:ascii="Cambria" w:hAnsi="Cambria"/>
          <w:color w:val="414042"/>
          <w:spacing w:val="-5"/>
        </w:rPr>
        <w:t xml:space="preserve"> </w:t>
      </w:r>
      <w:r w:rsidRPr="00AA13FD">
        <w:rPr>
          <w:rFonts w:ascii="Cambria" w:hAnsi="Cambria"/>
          <w:color w:val="414042"/>
        </w:rPr>
        <w:t>IREM</w:t>
      </w:r>
      <w:r w:rsidR="00991AC9" w:rsidRPr="00AA13FD">
        <w:rPr>
          <w:rFonts w:ascii="Cambria" w:hAnsi="Cambria"/>
          <w:color w:val="414042"/>
          <w:vertAlign w:val="superscript"/>
        </w:rPr>
        <w:t>®</w:t>
      </w:r>
      <w:r w:rsidRPr="00AA13FD">
        <w:rPr>
          <w:rFonts w:ascii="Cambria" w:hAnsi="Cambria"/>
          <w:color w:val="414042"/>
        </w:rPr>
        <w:t>:</w:t>
      </w:r>
    </w:p>
    <w:p w14:paraId="23B5D753" w14:textId="1E7750D9" w:rsidR="00010012" w:rsidRPr="00AA13FD" w:rsidRDefault="00380C0B" w:rsidP="000508F7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AA13FD">
        <w:rPr>
          <w:rFonts w:ascii="Cambria" w:hAnsi="Cambria"/>
          <w:color w:val="414042"/>
        </w:rPr>
        <w:t>Proof of diversion rate</w:t>
      </w:r>
    </w:p>
    <w:sectPr w:rsidR="00010012" w:rsidRPr="00AA13FD" w:rsidSect="005D4FFF">
      <w:footerReference w:type="default" r:id="rId7"/>
      <w:headerReference w:type="first" r:id="rId8"/>
      <w:footerReference w:type="first" r:id="rId9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45202" w14:textId="77777777" w:rsidR="000E77E1" w:rsidRDefault="000E77E1" w:rsidP="005D4FFF">
      <w:r>
        <w:separator/>
      </w:r>
    </w:p>
  </w:endnote>
  <w:endnote w:type="continuationSeparator" w:id="0">
    <w:p w14:paraId="26501BC2" w14:textId="77777777" w:rsidR="000E77E1" w:rsidRDefault="000E77E1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9415C" w14:textId="0EBBDB47" w:rsidR="004B3519" w:rsidRPr="000339BE" w:rsidRDefault="002738C7" w:rsidP="000339BE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0339BE">
      <w:rPr>
        <w:rFonts w:ascii="Cambria" w:hAnsi="Cambria"/>
        <w:color w:val="414042"/>
        <w:sz w:val="18"/>
        <w:szCs w:val="18"/>
      </w:rPr>
      <w:fldChar w:fldCharType="begin"/>
    </w:r>
    <w:r w:rsidRPr="000339BE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0339BE">
      <w:rPr>
        <w:rFonts w:ascii="Cambria" w:hAnsi="Cambria"/>
        <w:color w:val="414042"/>
        <w:sz w:val="18"/>
        <w:szCs w:val="18"/>
      </w:rPr>
      <w:fldChar w:fldCharType="separate"/>
    </w:r>
    <w:r w:rsidRPr="000339BE">
      <w:rPr>
        <w:rFonts w:ascii="Cambria" w:hAnsi="Cambria"/>
        <w:noProof/>
        <w:color w:val="414042"/>
        <w:sz w:val="18"/>
        <w:szCs w:val="18"/>
      </w:rPr>
      <w:t>2</w:t>
    </w:r>
    <w:r w:rsidRPr="000339BE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1EAC9" w14:textId="77777777" w:rsidR="002738C7" w:rsidRPr="00E04028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E04028">
      <w:rPr>
        <w:rFonts w:ascii="Cambria" w:hAnsi="Cambria"/>
        <w:color w:val="414042"/>
        <w:sz w:val="18"/>
        <w:szCs w:val="18"/>
      </w:rPr>
      <w:fldChar w:fldCharType="begin"/>
    </w:r>
    <w:r w:rsidRPr="00E04028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E04028">
      <w:rPr>
        <w:rFonts w:ascii="Cambria" w:hAnsi="Cambria"/>
        <w:color w:val="414042"/>
        <w:sz w:val="18"/>
        <w:szCs w:val="18"/>
      </w:rPr>
      <w:fldChar w:fldCharType="separate"/>
    </w:r>
    <w:r w:rsidRPr="00E04028">
      <w:rPr>
        <w:rFonts w:ascii="Cambria" w:hAnsi="Cambria"/>
        <w:noProof/>
        <w:color w:val="414042"/>
        <w:sz w:val="18"/>
        <w:szCs w:val="18"/>
      </w:rPr>
      <w:t>2</w:t>
    </w:r>
    <w:r w:rsidRPr="00E04028">
      <w:rPr>
        <w:rFonts w:ascii="Cambria" w:hAnsi="Cambria"/>
        <w:noProof/>
        <w:color w:val="414042"/>
        <w:sz w:val="18"/>
        <w:szCs w:val="18"/>
      </w:rPr>
      <w:fldChar w:fldCharType="end"/>
    </w:r>
  </w:p>
  <w:p w14:paraId="4E592019" w14:textId="6921F31F" w:rsidR="004B3519" w:rsidRPr="00E04028" w:rsidRDefault="00E04028">
    <w:pPr>
      <w:pStyle w:val="Footer"/>
      <w:rPr>
        <w:rFonts w:ascii="Cambria" w:hAnsi="Cambria"/>
        <w:color w:val="414042"/>
        <w:sz w:val="18"/>
        <w:szCs w:val="18"/>
      </w:rPr>
    </w:pPr>
    <w:r w:rsidRPr="00E04028">
      <w:rPr>
        <w:rFonts w:ascii="Cambria" w:hAnsi="Cambria"/>
        <w:color w:val="414042"/>
        <w:sz w:val="18"/>
        <w:szCs w:val="18"/>
      </w:rPr>
      <w:t>v</w:t>
    </w:r>
    <w:r w:rsidR="002738C7" w:rsidRPr="00E04028">
      <w:rPr>
        <w:rFonts w:ascii="Cambria" w:hAnsi="Cambria"/>
        <w:color w:val="414042"/>
        <w:sz w:val="18"/>
        <w:szCs w:val="18"/>
      </w:rPr>
      <w:t>20</w:t>
    </w:r>
    <w:r w:rsidRPr="00E04028">
      <w:rPr>
        <w:rFonts w:ascii="Cambria" w:hAnsi="Cambria"/>
        <w:color w:val="414042"/>
        <w:sz w:val="18"/>
        <w:szCs w:val="18"/>
      </w:rPr>
      <w:t>21</w:t>
    </w:r>
    <w:r w:rsidR="002738C7" w:rsidRPr="00E04028">
      <w:rPr>
        <w:rFonts w:ascii="Cambria" w:hAnsi="Cambria"/>
        <w:color w:val="414042"/>
        <w:sz w:val="18"/>
        <w:szCs w:val="18"/>
      </w:rPr>
      <w:t xml:space="preserve">.1 (updated </w:t>
    </w:r>
    <w:r w:rsidRPr="00E04028">
      <w:rPr>
        <w:rFonts w:ascii="Cambria" w:hAnsi="Cambria"/>
        <w:color w:val="414042"/>
        <w:sz w:val="18"/>
        <w:szCs w:val="18"/>
      </w:rPr>
      <w:t>4</w:t>
    </w:r>
    <w:r w:rsidR="002738C7" w:rsidRPr="00E04028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6F5EB" w14:textId="77777777" w:rsidR="000E77E1" w:rsidRDefault="000E77E1" w:rsidP="005D4FFF">
      <w:r>
        <w:separator/>
      </w:r>
    </w:p>
  </w:footnote>
  <w:footnote w:type="continuationSeparator" w:id="0">
    <w:p w14:paraId="63096C0C" w14:textId="77777777" w:rsidR="000E77E1" w:rsidRDefault="000E77E1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A7843" w14:textId="4C86C4C5" w:rsidR="005D4FFF" w:rsidRDefault="00E15EAE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C61B6AC" wp14:editId="1FC10FC5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6067FD8"/>
    <w:multiLevelType w:val="multilevel"/>
    <w:tmpl w:val="2C621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7425080"/>
    <w:multiLevelType w:val="hybridMultilevel"/>
    <w:tmpl w:val="14F6843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3483E9E"/>
    <w:multiLevelType w:val="hybridMultilevel"/>
    <w:tmpl w:val="F5B0F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9286AE8"/>
    <w:multiLevelType w:val="hybridMultilevel"/>
    <w:tmpl w:val="05E8F9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6"/>
  </w:num>
  <w:num w:numId="5">
    <w:abstractNumId w:val="3"/>
  </w:num>
  <w:num w:numId="6">
    <w:abstractNumId w:val="1"/>
  </w:num>
  <w:num w:numId="7">
    <w:abstractNumId w:val="8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C0B"/>
    <w:rsid w:val="00010012"/>
    <w:rsid w:val="000225F1"/>
    <w:rsid w:val="000339BE"/>
    <w:rsid w:val="00040BEC"/>
    <w:rsid w:val="000508F7"/>
    <w:rsid w:val="00057357"/>
    <w:rsid w:val="0006560E"/>
    <w:rsid w:val="00086140"/>
    <w:rsid w:val="000953C1"/>
    <w:rsid w:val="000C6757"/>
    <w:rsid w:val="000D4229"/>
    <w:rsid w:val="000E77E1"/>
    <w:rsid w:val="001F4D63"/>
    <w:rsid w:val="002738C7"/>
    <w:rsid w:val="00297CBA"/>
    <w:rsid w:val="003234C8"/>
    <w:rsid w:val="00380C0B"/>
    <w:rsid w:val="003C7D3D"/>
    <w:rsid w:val="003D036F"/>
    <w:rsid w:val="003D786E"/>
    <w:rsid w:val="00421ADB"/>
    <w:rsid w:val="0042749A"/>
    <w:rsid w:val="00483911"/>
    <w:rsid w:val="004A1E57"/>
    <w:rsid w:val="004B093B"/>
    <w:rsid w:val="004B3519"/>
    <w:rsid w:val="004D2760"/>
    <w:rsid w:val="0050005D"/>
    <w:rsid w:val="00530BC3"/>
    <w:rsid w:val="005464F0"/>
    <w:rsid w:val="005D4FFF"/>
    <w:rsid w:val="005E5EE1"/>
    <w:rsid w:val="005F287B"/>
    <w:rsid w:val="006D7FC7"/>
    <w:rsid w:val="007024ED"/>
    <w:rsid w:val="00756AC0"/>
    <w:rsid w:val="00782C3E"/>
    <w:rsid w:val="00802FC4"/>
    <w:rsid w:val="008A6CDE"/>
    <w:rsid w:val="008B3FFD"/>
    <w:rsid w:val="008D50C8"/>
    <w:rsid w:val="008F4D93"/>
    <w:rsid w:val="009538C7"/>
    <w:rsid w:val="00963C7F"/>
    <w:rsid w:val="009742CA"/>
    <w:rsid w:val="00991AC9"/>
    <w:rsid w:val="009C24C6"/>
    <w:rsid w:val="00AA13FD"/>
    <w:rsid w:val="00AA1BA9"/>
    <w:rsid w:val="00AA6FC6"/>
    <w:rsid w:val="00BD5224"/>
    <w:rsid w:val="00BD7DBA"/>
    <w:rsid w:val="00C374D3"/>
    <w:rsid w:val="00C614AC"/>
    <w:rsid w:val="00C67DB3"/>
    <w:rsid w:val="00CC7878"/>
    <w:rsid w:val="00DA52F7"/>
    <w:rsid w:val="00DE3B57"/>
    <w:rsid w:val="00E04028"/>
    <w:rsid w:val="00E15EAE"/>
    <w:rsid w:val="00E26321"/>
    <w:rsid w:val="00E55D65"/>
    <w:rsid w:val="00E65FE5"/>
    <w:rsid w:val="00FD7F98"/>
    <w:rsid w:val="00FE78EE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536581"/>
  <w15:chartTrackingRefBased/>
  <w15:docId w15:val="{A39D7ACA-43A6-4C60-AE5A-AB6E25473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EAE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380C0B"/>
    <w:pPr>
      <w:autoSpaceDE w:val="0"/>
      <w:autoSpaceDN w:val="0"/>
      <w:spacing w:before="11"/>
      <w:ind w:left="657" w:right="658"/>
      <w:jc w:val="center"/>
    </w:pPr>
    <w:rPr>
      <w:rFonts w:ascii="Arial" w:eastAsia="Arial" w:hAnsi="Arial" w:cs="Arial"/>
      <w:bCs w:val="0"/>
    </w:rPr>
  </w:style>
  <w:style w:type="table" w:styleId="TableGrid">
    <w:name w:val="Table Grid"/>
    <w:basedOn w:val="TableNormal"/>
    <w:uiPriority w:val="39"/>
    <w:rsid w:val="00E040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W2KU7HSAZS44-1164448980-348614</_dlc_DocId>
    <_dlc_DocIdUrl xmlns="61977ac2-6d7e-4442-ac93-4e718c87e895">
      <Url>https://iremorg.sharepoint.com/sites/Shared/_layouts/15/DocIdRedir.aspx?ID=W2KU7HSAZS44-1164448980-348614</Url>
      <Description>W2KU7HSAZS44-1164448980-348614</Description>
    </_dlc_DocIdUrl>
  </documentManagement>
</p:properties>
</file>

<file path=customXml/itemProps1.xml><?xml version="1.0" encoding="utf-8"?>
<ds:datastoreItem xmlns:ds="http://schemas.openxmlformats.org/officeDocument/2006/customXml" ds:itemID="{C43FE17D-6D45-4158-BAAD-952201AF311E}"/>
</file>

<file path=customXml/itemProps2.xml><?xml version="1.0" encoding="utf-8"?>
<ds:datastoreItem xmlns:ds="http://schemas.openxmlformats.org/officeDocument/2006/customXml" ds:itemID="{3599A93A-287E-46DB-A9EC-14927AF460AF}"/>
</file>

<file path=customXml/itemProps3.xml><?xml version="1.0" encoding="utf-8"?>
<ds:datastoreItem xmlns:ds="http://schemas.openxmlformats.org/officeDocument/2006/customXml" ds:itemID="{E1014366-35A2-44AA-8A3A-3309B1F513C5}"/>
</file>

<file path=customXml/itemProps4.xml><?xml version="1.0" encoding="utf-8"?>
<ds:datastoreItem xmlns:ds="http://schemas.openxmlformats.org/officeDocument/2006/customXml" ds:itemID="{52AC6044-E67D-40AD-A178-C031786D13B3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204</TotalTime>
  <Pages>2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19</cp:revision>
  <dcterms:created xsi:type="dcterms:W3CDTF">2021-01-26T20:35:00Z</dcterms:created>
  <dcterms:modified xsi:type="dcterms:W3CDTF">2021-04-14T21:37:00Z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850400</vt:r8>
  </property>
  <property fmtid="{D5CDD505-2E9C-101B-9397-08002B2CF9AE}" pid="4" name="_dlc_DocIdItemGuid">
    <vt:lpwstr>3abd5f45-ffa6-51ed-abb9-d46d13b33d85</vt:lpwstr>
  </property>
</Properties>
</file>